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4E3B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qilishda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qo'yiladigan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355305ED" w14:textId="77777777" w:rsidR="000360F1" w:rsidRPr="000360F1" w:rsidRDefault="000360F1" w:rsidP="00036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joriy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1-mayidan 1-iyuniga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qadar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4D171C6E" w14:textId="77777777" w:rsidR="000360F1" w:rsidRPr="000360F1" w:rsidRDefault="000360F1" w:rsidP="00036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1 ta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ishtirokchi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ta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etadi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0AAA7ECE" w14:textId="77777777" w:rsidR="000360F1" w:rsidRPr="000360F1" w:rsidRDefault="000360F1" w:rsidP="00036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maket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prototip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oshmasligi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9CF6C51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baho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berishda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quyidagilar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hisobga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olinadi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357B4435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respublikada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avval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qo'llanilmagan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tashkillashtirish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tamoyillaridan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foydalanish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darajasi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bunda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respublikada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avval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chiqarilmagan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intellektual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mulk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ob'ekti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bo'lganda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ko'zda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tutadi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54F4647E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mukammalligi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jumladan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yakunlanganlik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darajasi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3EC01B4D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Muhofaza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qiluvchi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patent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patentga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komplekti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ko'zda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tutiladigan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)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reglamenti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sinov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dalolatnomalari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namunasining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6AE43788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investitsion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jozibadorligi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qo'shimcha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keltirib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kiritilgan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mablag'lar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tavakkalchiligini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kamaytiradigan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qulay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investitsion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shart-sharoitlar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majmuidir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.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investitsion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jozibadorligi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mamlakat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taraqqiyotining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uzoq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muddatli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istiqbollariga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qiymati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tavakkalchiliklarning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olinishi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o'zini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qoplashi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rentabelligi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belgilanadi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50333F16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moliyaviy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moliyaviy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ta'minotining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rejalashtirilayotgan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ishlarga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xarajatlar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smetasining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asoslanganligidir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5908115F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Marketing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rejasi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strategiyasi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bozor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hajmi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maqsadli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auditoriya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aloqalar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sotuvlarning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asosiy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kanallari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raqobat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muhiti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h.</w:t>
      </w:r>
    </w:p>
    <w:p w14:paraId="258F564F" w14:textId="77777777" w:rsidR="000360F1" w:rsidRPr="000360F1" w:rsidRDefault="000360F1" w:rsidP="00036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kutilayotgan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ajratiladigan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mablag'lardan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samarali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foydalanish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oshiriladigan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tadbirlarni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import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o'rnini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bosuvchi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eksportga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yo'naltirilgan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talab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qiladigan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chiqarishni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tashkillashtirish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6EEE4A7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O'zbekiston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Respublikasi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g'oliblari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borasidagi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qat'iy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u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qayta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ko'rib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chiqilmaydi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!</w:t>
      </w:r>
    </w:p>
    <w:p w14:paraId="15C686E1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o'rtasida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kelishilgan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mos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ravishda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qilinishi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shart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.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Bunda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5" w:tgtFrame="_blank" w:history="1">
        <w:r w:rsidRPr="000360F1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val="en-US" w:eastAsia="ru-RU"/>
          </w:rPr>
          <w:t>quyidagi hujjatlar asl nusxalari</w:t>
        </w:r>
      </w:hyperlink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 PDF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uzbiranstartup@gmail.com</w:t>
      </w:r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pochtasiga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yuborilishi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</w:t>
      </w:r>
    </w:p>
    <w:p w14:paraId="7C311FA8" w14:textId="77777777" w:rsidR="000360F1" w:rsidRPr="000360F1" w:rsidRDefault="000360F1" w:rsidP="000360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03985989" w14:textId="77777777" w:rsidR="000360F1" w:rsidRPr="000360F1" w:rsidRDefault="000360F1" w:rsidP="000360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pasporti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14:paraId="06AF86A9" w14:textId="77777777" w:rsidR="000360F1" w:rsidRPr="000360F1" w:rsidRDefault="000360F1" w:rsidP="000360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biznes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.pdf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.doc/.docx);</w:t>
      </w:r>
    </w:p>
    <w:p w14:paraId="16CDA31D" w14:textId="77777777" w:rsidR="000360F1" w:rsidRPr="000360F1" w:rsidRDefault="000360F1" w:rsidP="000360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Xarajatlar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smetasi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(.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xls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/.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xlsx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);</w:t>
      </w:r>
    </w:p>
    <w:p w14:paraId="69F75F55" w14:textId="77777777" w:rsidR="000360F1" w:rsidRPr="000360F1" w:rsidRDefault="000360F1" w:rsidP="000360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taqdimoti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10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slayd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mazmuni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yoritilganligi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52112AE0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talablariga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qat'iy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rioya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,</w:t>
      </w:r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materiallarining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ko'chirmachilikka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plagiat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yo'l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qo'yilmaganligi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yakunida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qo'lga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kiritiladigan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muhim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natijalarning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dizayniga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so'ralgan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mablag'larning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shartlarida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hajmiga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to'g'ri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o'tkaziladi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77A6BBE6" w14:textId="77777777" w:rsidR="000360F1" w:rsidRPr="000360F1" w:rsidRDefault="000360F1" w:rsidP="000360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Dastlabki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texnik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ekspertizadan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o'tmagan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loyihalar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tanlovning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keyingi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bosqichiga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tavsiya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etilmaydi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!</w:t>
      </w:r>
    </w:p>
    <w:p w14:paraId="52834F4E" w14:textId="77777777" w:rsidR="000360F1" w:rsidRPr="000360F1" w:rsidRDefault="000360F1" w:rsidP="000360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Tanlovga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faqat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bitta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ijrochi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tomonidan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taqdim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etilgan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loyihalar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shuningdek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,</w:t>
      </w:r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ekspertiza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natijalari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bo'yicha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bir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tomonlama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yoki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ikkala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tomondan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ham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moliyalashtirish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rad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qilingan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loyihalar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tanlovdan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chetlashtiriladi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!</w:t>
      </w:r>
    </w:p>
    <w:p w14:paraId="12863AC8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Quyidagi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hollarda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etilmasligi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0360F1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4289BD28" w14:textId="77777777" w:rsidR="000360F1" w:rsidRPr="000360F1" w:rsidRDefault="000360F1" w:rsidP="000360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mazmunan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xususiyatga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emasligi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392A91B5" w14:textId="77777777" w:rsidR="000360F1" w:rsidRPr="000360F1" w:rsidRDefault="000360F1" w:rsidP="000360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vazifalari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yoritib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berilmaganligi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31248EFE" w14:textId="77777777" w:rsidR="000360F1" w:rsidRPr="000360F1" w:rsidRDefault="000360F1" w:rsidP="000360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ajratiladigan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mablag'ni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binolarni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rekonstruktsiya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ta'mirlash-qurilish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ishlariga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avtotransport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vositalarini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xarid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sarflanishi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rejalashtirilganda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628E6FA0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loyihalardagi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g'oliblari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natijadorligi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vazifalarida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belgilangan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kutilayotgan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vaqtida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sifatli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bajarilishiga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mazkur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bajaruvchi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javobgar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hisoblanadilar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D5D46A9" w14:textId="77777777" w:rsidR="000360F1" w:rsidRPr="000360F1" w:rsidRDefault="000360F1" w:rsidP="000360F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bog'liq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masalalar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+998-71-203-32-23 (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ichki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raqam</w:t>
      </w:r>
      <w:proofErr w:type="spellEnd"/>
      <w:r w:rsidRPr="000360F1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841).</w:t>
      </w:r>
    </w:p>
    <w:p w14:paraId="14093012" w14:textId="77777777" w:rsidR="00FF4ABC" w:rsidRPr="000360F1" w:rsidRDefault="00FF4ABC">
      <w:pPr>
        <w:rPr>
          <w:lang w:val="en-US"/>
        </w:rPr>
      </w:pPr>
    </w:p>
    <w:sectPr w:rsidR="00FF4ABC" w:rsidRPr="0003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30F4"/>
    <w:multiLevelType w:val="multilevel"/>
    <w:tmpl w:val="9C1E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56CFE"/>
    <w:multiLevelType w:val="multilevel"/>
    <w:tmpl w:val="1BA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C61"/>
    <w:multiLevelType w:val="multilevel"/>
    <w:tmpl w:val="915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96599"/>
    <w:multiLevelType w:val="multilevel"/>
    <w:tmpl w:val="D0EE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1422F"/>
    <w:multiLevelType w:val="multilevel"/>
    <w:tmpl w:val="86F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A0"/>
    <w:rsid w:val="000360F1"/>
    <w:rsid w:val="00850FA0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017F"/>
  <w15:chartTrackingRefBased/>
  <w15:docId w15:val="{DF4444DB-0B31-4E7D-ACAA-4B80725F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6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60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nnovation.uz/media/post_attachments/Startap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2022-05-10T09:57:00Z</dcterms:created>
  <dcterms:modified xsi:type="dcterms:W3CDTF">2022-05-10T10:01:00Z</dcterms:modified>
</cp:coreProperties>
</file>